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F4" w:rsidRDefault="00A44811" w:rsidP="009F3E7D">
      <w:pPr>
        <w:rPr>
          <w:b/>
          <w:szCs w:val="19"/>
        </w:rPr>
      </w:pPr>
      <w:r>
        <w:rPr>
          <w:b/>
          <w:szCs w:val="19"/>
        </w:rPr>
        <w:t xml:space="preserve"> </w:t>
      </w:r>
    </w:p>
    <w:p w:rsidR="00FB4EF4" w:rsidRDefault="00A44811" w:rsidP="009F3E7D">
      <w:pPr>
        <w:rPr>
          <w:b/>
          <w:szCs w:val="19"/>
        </w:rPr>
      </w:pPr>
    </w:p>
    <w:p w:rsidR="00FB4EF4" w:rsidRPr="007C0E83" w:rsidRDefault="00A44811" w:rsidP="009F3E7D">
      <w:pPr>
        <w:rPr>
          <w:b/>
          <w:szCs w:val="19"/>
        </w:rPr>
      </w:pPr>
      <w:r w:rsidRPr="007C0E83">
        <w:rPr>
          <w:b/>
          <w:szCs w:val="19"/>
        </w:rPr>
        <w:t>Aan de leden van Provinciale Staten van Noord-Holland</w:t>
      </w:r>
    </w:p>
    <w:p w:rsidR="00FB4EF4" w:rsidRDefault="00A44811" w:rsidP="009F3E7D">
      <w:pPr>
        <w:rPr>
          <w:b/>
          <w:szCs w:val="19"/>
        </w:rPr>
      </w:pPr>
      <w:r>
        <w:rPr>
          <w:b/>
          <w:szCs w:val="19"/>
        </w:rPr>
        <w:t>Datum ingekomen vragen</w:t>
      </w:r>
      <w:r>
        <w:rPr>
          <w:b/>
          <w:szCs w:val="19"/>
        </w:rPr>
        <w:tab/>
        <w:t xml:space="preserve">: </w:t>
      </w:r>
      <w:r>
        <w:rPr>
          <w:b/>
          <w:noProof/>
          <w:szCs w:val="19"/>
        </w:rPr>
        <w:t>4 april 2018</w:t>
      </w:r>
      <w:r w:rsidRPr="007C0E83">
        <w:rPr>
          <w:b/>
          <w:szCs w:val="19"/>
        </w:rPr>
        <w:t xml:space="preserve"> </w:t>
      </w:r>
      <w:r>
        <w:rPr>
          <w:b/>
          <w:szCs w:val="19"/>
        </w:rPr>
        <w:br/>
        <w:t xml:space="preserve">Datum GS-besluit: </w:t>
      </w:r>
      <w:r>
        <w:rPr>
          <w:b/>
          <w:szCs w:val="19"/>
        </w:rPr>
        <w:tab/>
      </w:r>
      <w:r>
        <w:rPr>
          <w:b/>
          <w:szCs w:val="19"/>
        </w:rPr>
        <w:tab/>
        <w:t xml:space="preserve">: </w:t>
      </w:r>
    </w:p>
    <w:p w:rsidR="00FB4EF4" w:rsidRDefault="00A44811" w:rsidP="009F3E7D">
      <w:pPr>
        <w:rPr>
          <w:b/>
          <w:szCs w:val="19"/>
        </w:rPr>
      </w:pPr>
    </w:p>
    <w:p w:rsidR="00FB4EF4" w:rsidRPr="00666EDF" w:rsidRDefault="00A44811" w:rsidP="009F3E7D">
      <w:pPr>
        <w:rPr>
          <w:b/>
        </w:rPr>
      </w:pPr>
      <w:r w:rsidRPr="00666EDF">
        <w:rPr>
          <w:b/>
        </w:rPr>
        <w:t xml:space="preserve">Vragen nr. </w:t>
      </w:r>
      <w:r>
        <w:rPr>
          <w:b/>
          <w:noProof/>
        </w:rPr>
        <w:t>41</w:t>
      </w:r>
    </w:p>
    <w:p w:rsidR="00FB4EF4" w:rsidRPr="00D54FBB" w:rsidRDefault="00A44811" w:rsidP="009F3E7D">
      <w:pPr>
        <w:pStyle w:val="Lijstalinea"/>
        <w:pBdr>
          <w:top w:val="nil"/>
          <w:left w:val="nil"/>
          <w:bottom w:val="nil"/>
          <w:right w:val="nil"/>
          <w:between w:val="nil"/>
          <w:bar w:val="nil"/>
        </w:pBdr>
        <w:ind w:left="0"/>
        <w:contextualSpacing w:val="0"/>
      </w:pPr>
      <w:r w:rsidRPr="00D54FBB">
        <w:t xml:space="preserve">Vragen van </w:t>
      </w:r>
      <w:r w:rsidRPr="008074F9">
        <w:rPr>
          <w:rFonts w:cs="Times New Roman"/>
          <w:szCs w:val="19"/>
        </w:rPr>
        <w:t xml:space="preserve"> </w:t>
      </w:r>
      <w:r>
        <w:rPr>
          <w:szCs w:val="19"/>
        </w:rPr>
        <w:t>mevrouw</w:t>
      </w:r>
      <w:r w:rsidRPr="00783B11">
        <w:rPr>
          <w:szCs w:val="19"/>
        </w:rPr>
        <w:t xml:space="preserve"> </w:t>
      </w:r>
      <w:r w:rsidRPr="001E7E2E">
        <w:rPr>
          <w:rFonts w:cs="Times New Roman"/>
          <w:b/>
          <w:szCs w:val="19"/>
        </w:rPr>
        <w:t xml:space="preserve"> </w:t>
      </w:r>
      <w:r>
        <w:rPr>
          <w:b/>
          <w:szCs w:val="19"/>
        </w:rPr>
        <w:t>J.M.E.</w:t>
      </w:r>
      <w:r w:rsidRPr="001E7E2E">
        <w:rPr>
          <w:rFonts w:cs="Times New Roman"/>
          <w:b/>
          <w:szCs w:val="19"/>
        </w:rPr>
        <w:t xml:space="preserve"> </w:t>
      </w:r>
      <w:r>
        <w:rPr>
          <w:b/>
          <w:szCs w:val="19"/>
        </w:rPr>
        <w:t>de</w:t>
      </w:r>
      <w:r w:rsidRPr="001E7E2E">
        <w:rPr>
          <w:rFonts w:cs="Times New Roman"/>
          <w:b/>
          <w:szCs w:val="19"/>
        </w:rPr>
        <w:t xml:space="preserve"> </w:t>
      </w:r>
      <w:r>
        <w:rPr>
          <w:b/>
          <w:szCs w:val="19"/>
        </w:rPr>
        <w:t>Groot</w:t>
      </w:r>
      <w:r>
        <w:rPr>
          <w:szCs w:val="19"/>
        </w:rPr>
        <w:t xml:space="preserve"> (SP)</w:t>
      </w:r>
      <w:r>
        <w:t xml:space="preserve"> over</w:t>
      </w:r>
      <w:r w:rsidRPr="00D54FBB">
        <w:t xml:space="preserve"> </w:t>
      </w:r>
      <w:r>
        <w:rPr>
          <w:noProof/>
        </w:rPr>
        <w:t xml:space="preserve">de mogelijkheden recreatiewoningen in Noord-Holland te verhuren aan </w:t>
      </w:r>
      <w:r>
        <w:rPr>
          <w:noProof/>
        </w:rPr>
        <w:t>kansarme woningzoekenden</w:t>
      </w:r>
      <w:r>
        <w:rPr>
          <w:noProof/>
        </w:rPr>
        <w:t>.</w:t>
      </w:r>
      <w:r>
        <w:t xml:space="preserve"> </w:t>
      </w:r>
    </w:p>
    <w:p w:rsidR="00AC66C8" w:rsidRPr="00AC66C8" w:rsidRDefault="00A44811" w:rsidP="009F3E7D">
      <w:pPr>
        <w:pStyle w:val="Lijstalinea"/>
        <w:pBdr>
          <w:top w:val="nil"/>
          <w:left w:val="nil"/>
          <w:bottom w:val="nil"/>
          <w:right w:val="nil"/>
          <w:between w:val="nil"/>
          <w:bar w:val="nil"/>
        </w:pBdr>
        <w:ind w:left="0"/>
        <w:contextualSpacing w:val="0"/>
      </w:pPr>
      <w:r w:rsidRPr="00D54FBB">
        <w:t>De voorzitter van Provinciale Staten van Noord-Holland deelt u overeenkomstig het bepaalde</w:t>
      </w:r>
      <w:r>
        <w:t xml:space="preserve"> </w:t>
      </w:r>
      <w:r w:rsidRPr="00D54FBB">
        <w:t>in artikel 45 van het Reglement van Orde voor de vergaderingen en andere werkzaamheden</w:t>
      </w:r>
      <w:r>
        <w:t xml:space="preserve"> </w:t>
      </w:r>
      <w:r w:rsidRPr="00D54FBB">
        <w:t xml:space="preserve">van Provinciale Staten mede, dat op </w:t>
      </w:r>
      <w:r>
        <w:rPr>
          <w:noProof/>
        </w:rPr>
        <w:t>4 april 2018</w:t>
      </w:r>
      <w:r w:rsidRPr="00D54FBB">
        <w:t xml:space="preserve"> do</w:t>
      </w:r>
      <w:r w:rsidRPr="00D54FBB">
        <w:t xml:space="preserve">or </w:t>
      </w:r>
      <w:r w:rsidRPr="00BB147D">
        <w:t>het lid</w:t>
      </w:r>
      <w:r w:rsidRPr="00D54FBB">
        <w:t xml:space="preserve"> van Provinciale Staten, </w:t>
      </w:r>
      <w:r w:rsidRPr="008074F9">
        <w:rPr>
          <w:rFonts w:cs="Times New Roman"/>
          <w:szCs w:val="19"/>
        </w:rPr>
        <w:t xml:space="preserve"> </w:t>
      </w:r>
      <w:r>
        <w:rPr>
          <w:szCs w:val="19"/>
        </w:rPr>
        <w:t>mevrouw</w:t>
      </w:r>
      <w:r w:rsidRPr="00783B11">
        <w:rPr>
          <w:szCs w:val="19"/>
        </w:rPr>
        <w:t xml:space="preserve"> </w:t>
      </w:r>
      <w:r w:rsidRPr="001E7E2E">
        <w:rPr>
          <w:rFonts w:cs="Times New Roman"/>
          <w:b/>
          <w:szCs w:val="19"/>
        </w:rPr>
        <w:t xml:space="preserve"> </w:t>
      </w:r>
      <w:r>
        <w:rPr>
          <w:b/>
          <w:szCs w:val="19"/>
        </w:rPr>
        <w:t>J.M.E.</w:t>
      </w:r>
      <w:r w:rsidRPr="001E7E2E">
        <w:rPr>
          <w:rFonts w:cs="Times New Roman"/>
          <w:b/>
          <w:szCs w:val="19"/>
        </w:rPr>
        <w:t xml:space="preserve"> </w:t>
      </w:r>
      <w:r>
        <w:rPr>
          <w:b/>
          <w:szCs w:val="19"/>
        </w:rPr>
        <w:t>de</w:t>
      </w:r>
      <w:r w:rsidRPr="001E7E2E">
        <w:rPr>
          <w:rFonts w:cs="Times New Roman"/>
          <w:b/>
          <w:szCs w:val="19"/>
        </w:rPr>
        <w:t xml:space="preserve"> </w:t>
      </w:r>
      <w:r>
        <w:rPr>
          <w:b/>
          <w:szCs w:val="19"/>
        </w:rPr>
        <w:t>Groot</w:t>
      </w:r>
      <w:r>
        <w:rPr>
          <w:szCs w:val="19"/>
        </w:rPr>
        <w:t xml:space="preserve"> (SP)</w:t>
      </w:r>
      <w:r w:rsidRPr="00D54FBB">
        <w:t>, de volgende vragen bij Gedeputeerde Staten zijn ingekomen.</w:t>
      </w:r>
      <w:r>
        <w:br/>
      </w:r>
    </w:p>
    <w:p w:rsidR="00FB4EF4" w:rsidRPr="002911C2" w:rsidRDefault="00A44811" w:rsidP="002911C2">
      <w:pPr>
        <w:rPr>
          <w:b/>
        </w:rPr>
      </w:pPr>
      <w:r w:rsidRPr="002911C2">
        <w:rPr>
          <w:b/>
          <w:noProof/>
          <w:lang w:eastAsia="nl-NL"/>
        </w:rPr>
        <w:t>INLEIDING VRAGEN</w:t>
      </w:r>
    </w:p>
    <w:p w:rsidR="00FB4EF4" w:rsidRDefault="00A44811" w:rsidP="009F3E7D">
      <w:r>
        <w:br/>
      </w:r>
      <w:r w:rsidR="00933CC6" w:rsidRPr="00933CC6">
        <w:t>In de uitzending van het tv- programma De Monitor van 3 april 2018</w:t>
      </w:r>
      <w:r w:rsidR="00933CC6" w:rsidRPr="00933CC6">
        <w:rPr>
          <w:vertAlign w:val="superscript"/>
        </w:rPr>
        <w:footnoteReference w:id="1"/>
      </w:r>
      <w:r w:rsidR="00933CC6" w:rsidRPr="00933CC6">
        <w:t xml:space="preserve"> kwam uitgebreid aan de orde dat woningzoekenden, die via de gebruikelijke weg in hun zoektocht naar een woning op een sociale huurwoning geen kans hebben, hun toevlucht zoeken op recreatieparken en daar recreatiewoningen huren. Ook in Noord-Holland is deze problematiek aan de orde. Als voorbeeld kwam het recreatiepark De Oude Boomgaard in Oudkarspel (gemeente Langedijk) in beeld. Op 29 april 2005 verblijdde GS de PS- commissie Ruimtelijke Ordening met een notitie over het permanent bewonen van recreatiewoningen, Bij de PRV versie 1 maart 2017 werd een Handreiking Uitzonderingen geleverd en in de nieuwsbrief Interbestuurlijk Toezicht nummer 7 van maart 2018 komt de illegale bewoning van recreatieterreinen aan de orde. Verder lijkt er weinig nieuws aan de orde te zijn bij de provincie Noord-Holland, terwijl gemeenten en woningzoekenden steen </w:t>
      </w:r>
      <w:r w:rsidR="00933CC6">
        <w:t>en been klagen over woningnood.</w:t>
      </w:r>
    </w:p>
    <w:p w:rsidR="00FB4EF4" w:rsidRPr="002911C2" w:rsidRDefault="00933CC6" w:rsidP="002911C2">
      <w:pPr>
        <w:rPr>
          <w:b/>
          <w:noProof/>
          <w:lang w:eastAsia="nl-NL"/>
        </w:rPr>
      </w:pPr>
      <w:r>
        <w:br/>
      </w:r>
      <w:r w:rsidR="00A44811" w:rsidRPr="002911C2">
        <w:rPr>
          <w:b/>
          <w:noProof/>
          <w:lang w:eastAsia="nl-NL"/>
        </w:rPr>
        <w:t>VRAGEN</w:t>
      </w:r>
    </w:p>
    <w:p w:rsidR="00933CC6" w:rsidRDefault="00A44811" w:rsidP="00933CC6">
      <w:r>
        <w:rPr>
          <w:b/>
          <w:noProof/>
          <w:lang w:eastAsia="nl-NL"/>
        </w:rPr>
        <w:t>Vraag 1:</w:t>
      </w:r>
      <w:r w:rsidR="00933CC6">
        <w:rPr>
          <w:b/>
          <w:noProof/>
          <w:lang w:eastAsia="nl-NL"/>
        </w:rPr>
        <w:br/>
      </w:r>
      <w:r w:rsidR="00933CC6">
        <w:t xml:space="preserve">Hebt u de uitzending van het tv- programma De Monitor van 3 april 2018 gezien? Wat is uw reactie na het zien van dit programma? </w:t>
      </w:r>
    </w:p>
    <w:p w:rsidR="00933CC6" w:rsidRDefault="00933CC6" w:rsidP="00933CC6">
      <w:r w:rsidRPr="00933CC6">
        <w:rPr>
          <w:b/>
          <w:noProof/>
          <w:lang w:eastAsia="nl-NL"/>
        </w:rPr>
        <w:t>Vraag 2:</w:t>
      </w:r>
      <w:r w:rsidRPr="00933CC6">
        <w:rPr>
          <w:b/>
          <w:noProof/>
          <w:lang w:eastAsia="nl-NL"/>
        </w:rPr>
        <w:br/>
      </w:r>
      <w:r>
        <w:t xml:space="preserve">Het blijkt dat vooral het vinden van een sociale huurwoning voor kansarme woningzoekenden een groot probleem is. Daarom huren deze woningzoekenden vaak een recreatiewoning op een recreatiepark. Kunt u ons meedelen op welke recreatieparken in Noord-Holland recreatiewoningen verhuurd worden aan kansarme woningzoekenden? Kunt u ons tevens meedelen om hoeveel recreatiewoningen het gaat? </w:t>
      </w:r>
    </w:p>
    <w:p w:rsidR="00933CC6" w:rsidRDefault="00933CC6" w:rsidP="00933CC6">
      <w:r w:rsidRPr="00933CC6">
        <w:rPr>
          <w:b/>
          <w:noProof/>
          <w:lang w:eastAsia="nl-NL"/>
        </w:rPr>
        <w:t>Vraag 3:</w:t>
      </w:r>
      <w:r w:rsidRPr="00933CC6">
        <w:rPr>
          <w:b/>
          <w:noProof/>
          <w:lang w:eastAsia="nl-NL"/>
        </w:rPr>
        <w:br/>
      </w:r>
      <w:r>
        <w:t xml:space="preserve">In de notitie 'permanent bewonen van recreatiewoningen' stelt u dat u eventuele gemeentelijke plannen voor het wijzigen van bestemmingen goed kunt keuren. Welke Noord-Hollandse gemeenten hebben al bij u aangeklopt met bestemmingsplannen waarbij aan recreatiewoningen een bestemming woondoeleinden wordt gegeven? Om welke recreatieparken gaat het? En welke Noord-Hollandse gemeenten zijn daarbij van plan de recreatiewoningen een bestemming in de sociale huursector toe te staan? </w:t>
      </w:r>
    </w:p>
    <w:p w:rsidR="00933CC6" w:rsidRDefault="00933CC6" w:rsidP="00933CC6">
      <w:r w:rsidRPr="00933CC6">
        <w:rPr>
          <w:b/>
          <w:noProof/>
          <w:lang w:eastAsia="nl-NL"/>
        </w:rPr>
        <w:t>Vraag 4:</w:t>
      </w:r>
      <w:r w:rsidRPr="00933CC6">
        <w:rPr>
          <w:b/>
          <w:noProof/>
          <w:lang w:eastAsia="nl-NL"/>
        </w:rPr>
        <w:br/>
      </w:r>
      <w:r>
        <w:t xml:space="preserve">Vaak wordt geopperd dat een recreatieve bestemming van een woning gunstig is voor de economie. In de notitie 'permanent bewonen van recreatiewoningen' stelt u dat deze bewering slechts ten dele waar is. Uit onderzoeken is bekend dat permanente bewoners gemiddeld méér besteden bij de plaatselijke middenstand dan recreanten. Is dat een uitspraak waar u nog steeds achter </w:t>
      </w:r>
      <w:proofErr w:type="spellStart"/>
      <w:r>
        <w:t>staat?Kunt</w:t>
      </w:r>
      <w:proofErr w:type="spellEnd"/>
      <w:r>
        <w:t xml:space="preserve"> u uw antwoord toelichten?</w:t>
      </w:r>
    </w:p>
    <w:p w:rsidR="00933CC6" w:rsidRDefault="00933CC6" w:rsidP="00933CC6">
      <w:r w:rsidRPr="00933CC6">
        <w:rPr>
          <w:b/>
          <w:noProof/>
          <w:lang w:eastAsia="nl-NL"/>
        </w:rPr>
        <w:t>Vraag 5:</w:t>
      </w:r>
      <w:r w:rsidRPr="00933CC6">
        <w:rPr>
          <w:b/>
          <w:noProof/>
          <w:lang w:eastAsia="nl-NL"/>
        </w:rPr>
        <w:br/>
      </w:r>
      <w:r>
        <w:t>Uit de Handreiking Uitzonderingen bij de PRV versie 1 maart 2017 laat u gemeenten weten dat het mogelijk maken van permanente bewoning van recreatiewoningen in alle gevallen in strijd is met de PRV, artikel 18 lid 1. Alleen bewoners die op 31 oktober 2003 in de recreatiewoning woonden en bovendien meerderjarig waren kunnen de recreatiewoning permanent bewonen. Kunt u ons meedelen of in de PRV- wijziging, die na die van 26 april 2018 komt, aandacht besteed wordt aan het permanent bewonen van recreatiewoningen binnen BSG? Kunt u uw antwoord toelichten?</w:t>
      </w:r>
    </w:p>
    <w:p w:rsidR="00933CC6" w:rsidRDefault="00933CC6" w:rsidP="00933CC6">
      <w:r w:rsidRPr="00933CC6">
        <w:rPr>
          <w:b/>
          <w:noProof/>
          <w:lang w:eastAsia="nl-NL"/>
        </w:rPr>
        <w:t>Vraag 6:</w:t>
      </w:r>
      <w:r w:rsidRPr="00933CC6">
        <w:rPr>
          <w:b/>
          <w:noProof/>
          <w:lang w:eastAsia="nl-NL"/>
        </w:rPr>
        <w:br/>
      </w:r>
      <w:r>
        <w:t>In de nieuwsbrief Interbestuurlijk Toezicht van maart 2018 wordt bekendgemaakt dat u in 2018 in kaart wilt brengen hoe gemeenten het toezicht en de handhaving op het gebied van de illegale bewoning op recreatieterreinen vormgeven. Gaat het in kaart brengen van het toezicht en de handhaving op het gebied van de illegale bewoning op recreatieterreinen gepaard met een 'heksenjacht' op de illegale bewoners, hoog oplopende boetes en bestuursdwang? Kunt u uw antwoord toelichten?</w:t>
      </w:r>
    </w:p>
    <w:p w:rsidR="00AC66C8" w:rsidRPr="00933CC6" w:rsidRDefault="00933CC6" w:rsidP="00933CC6">
      <w:r w:rsidRPr="00933CC6">
        <w:rPr>
          <w:b/>
          <w:noProof/>
          <w:lang w:eastAsia="nl-NL"/>
        </w:rPr>
        <w:t>Vraag 7:</w:t>
      </w:r>
      <w:r w:rsidRPr="00933CC6">
        <w:rPr>
          <w:b/>
          <w:noProof/>
          <w:lang w:eastAsia="nl-NL"/>
        </w:rPr>
        <w:br/>
      </w:r>
      <w:r>
        <w:t>Bent u in de nabije toekomst bereid gemeenten toe te staan in geval van noodzaak vanwege kansarme woningzoekenden de bestemming recreatiewoningen om te zetten in woondoeleinden? Een en ander in recreatieparken binnen BSG en als aanvulling op de sociale woningvoorraad? Kunt u uw antwoord toelichten?</w:t>
      </w:r>
    </w:p>
    <w:p w:rsidR="00FB4EF4" w:rsidRPr="00666EDF" w:rsidRDefault="00A44811" w:rsidP="009F3E7D">
      <w:pPr>
        <w:rPr>
          <w:b/>
          <w:noProof/>
          <w:lang w:eastAsia="nl-NL"/>
        </w:rPr>
      </w:pPr>
    </w:p>
    <w:p w:rsidR="00FB4EF4" w:rsidRDefault="00A44811" w:rsidP="009F3E7D">
      <w:pPr>
        <w:pStyle w:val="Lijstalinea"/>
        <w:pBdr>
          <w:top w:val="nil"/>
          <w:left w:val="nil"/>
          <w:bottom w:val="nil"/>
          <w:right w:val="nil"/>
          <w:between w:val="nil"/>
          <w:bar w:val="nil"/>
        </w:pBdr>
        <w:ind w:left="0"/>
        <w:contextualSpacing w:val="0"/>
      </w:pPr>
    </w:p>
    <w:p w:rsidR="00FB4EF4" w:rsidRDefault="00A44811" w:rsidP="006353F5">
      <w:r w:rsidRPr="00D54FBB">
        <w:t xml:space="preserve">Gedeputeerde Staten zullen de gestelde vragen zo spoedig mogelijk, doch uiterlijk binnen 30 </w:t>
      </w:r>
      <w:r w:rsidRPr="00D54FBB">
        <w:t>dagen na binnenkomst, beantwoorden.</w:t>
      </w:r>
    </w:p>
    <w:sectPr w:rsidR="00FB4EF4" w:rsidSect="00EC47DC">
      <w:head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11" w:rsidRDefault="00A44811">
      <w:pPr>
        <w:spacing w:after="0"/>
      </w:pPr>
      <w:r>
        <w:separator/>
      </w:r>
    </w:p>
  </w:endnote>
  <w:endnote w:type="continuationSeparator" w:id="0">
    <w:p w:rsidR="00A44811" w:rsidRDefault="00A44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11" w:rsidRDefault="00A44811">
      <w:pPr>
        <w:spacing w:after="0"/>
      </w:pPr>
      <w:r>
        <w:separator/>
      </w:r>
    </w:p>
  </w:footnote>
  <w:footnote w:type="continuationSeparator" w:id="0">
    <w:p w:rsidR="00A44811" w:rsidRDefault="00A44811">
      <w:pPr>
        <w:spacing w:after="0"/>
      </w:pPr>
      <w:r>
        <w:continuationSeparator/>
      </w:r>
    </w:p>
  </w:footnote>
  <w:footnote w:id="1">
    <w:p w:rsidR="00933CC6" w:rsidRDefault="00933CC6" w:rsidP="00933CC6">
      <w:pPr>
        <w:pStyle w:val="Voetnoottekst"/>
      </w:pPr>
      <w:r>
        <w:rPr>
          <w:rStyle w:val="Koptekst"/>
          <w:rFonts w:ascii="Times New Roman" w:hAnsi="Times New Roman"/>
        </w:rPr>
        <w:footnoteRef/>
      </w:r>
      <w:r>
        <w:tab/>
        <w:t>https://demonitor.kro-ncrv.nl/uitzendingen/handhaving-op-vakantieparken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ED2CF1" w:rsidTr="00B3095E">
      <w:tc>
        <w:tcPr>
          <w:tcW w:w="1008" w:type="dxa"/>
          <w:shd w:val="clear" w:color="auto" w:fill="auto"/>
        </w:tcPr>
        <w:p w:rsidR="006353F5" w:rsidRPr="00FB4EF4" w:rsidRDefault="00A44811" w:rsidP="006353F5">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2018</w:t>
          </w:r>
        </w:p>
      </w:tc>
      <w:tc>
        <w:tcPr>
          <w:tcW w:w="1544" w:type="dxa"/>
          <w:shd w:val="clear" w:color="auto" w:fill="auto"/>
        </w:tcPr>
        <w:p w:rsidR="006353F5" w:rsidRPr="00FB4EF4" w:rsidRDefault="00A44811" w:rsidP="006353F5">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41</w:t>
          </w:r>
        </w:p>
      </w:tc>
    </w:tr>
  </w:tbl>
  <w:p w:rsidR="00FB4EF4" w:rsidRDefault="00A448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ED2CF1" w:rsidTr="006C4318">
      <w:tc>
        <w:tcPr>
          <w:tcW w:w="1008" w:type="dxa"/>
          <w:shd w:val="clear" w:color="auto" w:fill="auto"/>
        </w:tcPr>
        <w:p w:rsidR="00EC47DC" w:rsidRPr="00FB4EF4" w:rsidRDefault="00A44811" w:rsidP="00EC47DC">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2018</w:t>
          </w:r>
        </w:p>
      </w:tc>
      <w:tc>
        <w:tcPr>
          <w:tcW w:w="1544" w:type="dxa"/>
          <w:shd w:val="clear" w:color="auto" w:fill="auto"/>
        </w:tcPr>
        <w:p w:rsidR="00EC47DC" w:rsidRPr="00FB4EF4" w:rsidRDefault="00A44811" w:rsidP="00EC47DC">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41</w:t>
          </w:r>
        </w:p>
      </w:tc>
    </w:tr>
  </w:tbl>
  <w:p w:rsidR="00EC47DC" w:rsidRDefault="00A44811">
    <w:pPr>
      <w:pStyle w:val="Koptekst"/>
    </w:pPr>
    <w:r>
      <w:rPr>
        <w:noProof/>
        <w:lang w:eastAsia="nl-NL"/>
      </w:rPr>
      <w:drawing>
        <wp:anchor distT="0" distB="0" distL="114300" distR="114300" simplePos="0" relativeHeight="251658240" behindDoc="1" locked="1" layoutInCell="1" allowOverlap="1" wp14:anchorId="02CB4866" wp14:editId="02CB4867">
          <wp:simplePos x="0" y="0"/>
          <wp:positionH relativeFrom="column">
            <wp:posOffset>1270</wp:posOffset>
          </wp:positionH>
          <wp:positionV relativeFrom="page">
            <wp:posOffset>279400</wp:posOffset>
          </wp:positionV>
          <wp:extent cx="3952240" cy="791845"/>
          <wp:effectExtent l="0" t="0" r="0" b="8255"/>
          <wp:wrapTight wrapText="bothSides">
            <wp:wrapPolygon edited="0">
              <wp:start x="0" y="0"/>
              <wp:lineTo x="0" y="21306"/>
              <wp:lineTo x="21447" y="21306"/>
              <wp:lineTo x="21447" y="0"/>
              <wp:lineTo x="0" y="0"/>
            </wp:wrapPolygon>
          </wp:wrapTight>
          <wp:docPr id="5" name="Picture 2" descr="PNH_RGB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NH_RGB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240" cy="791845"/>
                  </a:xfrm>
                  <a:prstGeom prst="rect">
                    <a:avLst/>
                  </a:prstGeom>
                  <a:noFill/>
                  <a:extLst/>
                </pic:spPr>
              </pic:pic>
            </a:graphicData>
          </a:graphic>
        </wp:anchor>
      </w:drawing>
    </w:r>
    <w:r>
      <w:rPr>
        <w:noProof/>
        <w:lang w:eastAsia="nl-NL"/>
      </w:rPr>
      <w:drawing>
        <wp:anchor distT="0" distB="0" distL="114300" distR="114300" simplePos="0" relativeHeight="251659264" behindDoc="1" locked="0" layoutInCell="1" allowOverlap="1" wp14:anchorId="02CB4868" wp14:editId="02CB4869">
          <wp:simplePos x="0" y="0"/>
          <wp:positionH relativeFrom="column">
            <wp:posOffset>-817880</wp:posOffset>
          </wp:positionH>
          <wp:positionV relativeFrom="paragraph">
            <wp:posOffset>-22225</wp:posOffset>
          </wp:positionV>
          <wp:extent cx="692150" cy="4000500"/>
          <wp:effectExtent l="0" t="0" r="0" b="0"/>
          <wp:wrapNone/>
          <wp:docPr id="6" name="Picture 3" descr="Schriftelijke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chriftelijkevr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400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0E30"/>
    <w:multiLevelType w:val="multilevel"/>
    <w:tmpl w:val="E2BCF7A2"/>
    <w:lvl w:ilvl="0">
      <w:start w:val="1"/>
      <w:numFmt w:val="decimal"/>
      <w:lvlText w:val="Vraag %1:"/>
      <w:lvlJc w:val="left"/>
      <w:pPr>
        <w:ind w:left="709" w:hanging="709"/>
      </w:pPr>
      <w:rPr>
        <w:rFonts w:hint="default"/>
        <w:b/>
        <w:i w:val="0"/>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F1"/>
    <w:rsid w:val="00807A53"/>
    <w:rsid w:val="00933CC6"/>
    <w:rsid w:val="00A44811"/>
    <w:rsid w:val="00ED2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484F"/>
  <w15:docId w15:val="{94403CB1-BCB3-4870-913E-1D8AA04F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CC6"/>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933CC6"/>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933CC6"/>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933CC6"/>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933CC6"/>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unhideWhenUsed/>
    <w:rsid w:val="00933CC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33CC6"/>
  </w:style>
  <w:style w:type="paragraph" w:styleId="Koptekst">
    <w:name w:val="header"/>
    <w:basedOn w:val="Standaard"/>
    <w:link w:val="KoptekstChar"/>
    <w:uiPriority w:val="99"/>
    <w:unhideWhenUsed/>
    <w:rsid w:val="00FB4EF4"/>
    <w:pPr>
      <w:tabs>
        <w:tab w:val="center" w:pos="4536"/>
        <w:tab w:val="right" w:pos="9072"/>
      </w:tabs>
      <w:spacing w:after="0"/>
    </w:pPr>
  </w:style>
  <w:style w:type="character" w:customStyle="1" w:styleId="KoptekstChar">
    <w:name w:val="Koptekst Char"/>
    <w:basedOn w:val="Standaardalinea-lettertype"/>
    <w:link w:val="Koptekst"/>
    <w:uiPriority w:val="99"/>
    <w:rsid w:val="00FB4EF4"/>
  </w:style>
  <w:style w:type="paragraph" w:styleId="Voettekst">
    <w:name w:val="footer"/>
    <w:basedOn w:val="Standaard"/>
    <w:link w:val="VoettekstChar"/>
    <w:uiPriority w:val="99"/>
    <w:unhideWhenUsed/>
    <w:rsid w:val="00FB4EF4"/>
    <w:pPr>
      <w:tabs>
        <w:tab w:val="center" w:pos="4536"/>
        <w:tab w:val="right" w:pos="9072"/>
      </w:tabs>
      <w:spacing w:after="0"/>
    </w:pPr>
  </w:style>
  <w:style w:type="character" w:customStyle="1" w:styleId="VoettekstChar">
    <w:name w:val="Voettekst Char"/>
    <w:basedOn w:val="Standaardalinea-lettertype"/>
    <w:link w:val="Voettekst"/>
    <w:uiPriority w:val="99"/>
    <w:rsid w:val="00FB4EF4"/>
  </w:style>
  <w:style w:type="paragraph" w:styleId="Ballontekst">
    <w:name w:val="Balloon Text"/>
    <w:basedOn w:val="Standaard"/>
    <w:link w:val="BallontekstChar"/>
    <w:uiPriority w:val="99"/>
    <w:semiHidden/>
    <w:unhideWhenUsed/>
    <w:rsid w:val="00933CC6"/>
    <w:rPr>
      <w:rFonts w:ascii="Tahoma" w:hAnsi="Tahoma" w:cs="Tahoma"/>
      <w:szCs w:val="16"/>
    </w:rPr>
  </w:style>
  <w:style w:type="character" w:customStyle="1" w:styleId="BallontekstChar">
    <w:name w:val="Ballontekst Char"/>
    <w:basedOn w:val="Standaardalinea-lettertype"/>
    <w:link w:val="Ballontekst"/>
    <w:uiPriority w:val="99"/>
    <w:semiHidden/>
    <w:rsid w:val="00933CC6"/>
    <w:rPr>
      <w:rFonts w:ascii="Tahoma" w:hAnsi="Tahoma" w:cs="Tahoma"/>
      <w:sz w:val="19"/>
      <w:szCs w:val="16"/>
    </w:rPr>
  </w:style>
  <w:style w:type="character" w:customStyle="1" w:styleId="Kop1Char">
    <w:name w:val="Kop 1 Char"/>
    <w:basedOn w:val="Standaardalinea-lettertype"/>
    <w:link w:val="Kop1"/>
    <w:uiPriority w:val="9"/>
    <w:rsid w:val="00933CC6"/>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933CC6"/>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933CC6"/>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933CC6"/>
    <w:rPr>
      <w:rFonts w:ascii="Lucida Sans" w:eastAsiaTheme="majorEastAsia" w:hAnsi="Lucida Sans" w:cstheme="majorBidi"/>
      <w:b/>
      <w:bCs/>
      <w:i/>
      <w:iCs/>
      <w:color w:val="4F81BD" w:themeColor="accent1"/>
      <w:sz w:val="19"/>
    </w:rPr>
  </w:style>
  <w:style w:type="paragraph" w:styleId="Citaat">
    <w:name w:val="Quote"/>
    <w:basedOn w:val="Standaard"/>
    <w:next w:val="Standaard"/>
    <w:link w:val="CitaatChar"/>
    <w:uiPriority w:val="29"/>
    <w:qFormat/>
    <w:rsid w:val="00933CC6"/>
    <w:rPr>
      <w:i/>
      <w:iCs/>
      <w:color w:val="000000" w:themeColor="text1"/>
    </w:rPr>
  </w:style>
  <w:style w:type="character" w:customStyle="1" w:styleId="CitaatChar">
    <w:name w:val="Citaat Char"/>
    <w:basedOn w:val="Standaardalinea-lettertype"/>
    <w:link w:val="Citaat"/>
    <w:uiPriority w:val="29"/>
    <w:rsid w:val="00933CC6"/>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933CC6"/>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933CC6"/>
    <w:rPr>
      <w:rFonts w:ascii="Lucida Sans" w:hAnsi="Lucida Sans"/>
      <w:b/>
      <w:bCs/>
      <w:i/>
      <w:iCs/>
      <w:color w:val="2891E1"/>
      <w:sz w:val="19"/>
    </w:rPr>
  </w:style>
  <w:style w:type="paragraph" w:styleId="Geenafstand">
    <w:name w:val="No Spacing"/>
    <w:uiPriority w:val="1"/>
    <w:rsid w:val="00933CC6"/>
    <w:pPr>
      <w:spacing w:after="0" w:line="240" w:lineRule="auto"/>
    </w:pPr>
    <w:rPr>
      <w:rFonts w:ascii="Lucida Sans" w:hAnsi="Lucida Sans"/>
      <w:sz w:val="19"/>
    </w:rPr>
  </w:style>
  <w:style w:type="character" w:styleId="Intensievebenadrukking">
    <w:name w:val="Intense Emphasis"/>
    <w:basedOn w:val="Standaardalinea-lettertype"/>
    <w:uiPriority w:val="21"/>
    <w:qFormat/>
    <w:rsid w:val="00933CC6"/>
    <w:rPr>
      <w:rFonts w:ascii="Lucida Sans" w:hAnsi="Lucida Sans"/>
      <w:b/>
      <w:bCs/>
      <w:i/>
      <w:iCs/>
      <w:color w:val="2891E1"/>
      <w:sz w:val="19"/>
    </w:rPr>
  </w:style>
  <w:style w:type="character" w:styleId="Intensieveverwijzing">
    <w:name w:val="Intense Reference"/>
    <w:basedOn w:val="Standaardalinea-lettertype"/>
    <w:uiPriority w:val="32"/>
    <w:qFormat/>
    <w:rsid w:val="00933CC6"/>
    <w:rPr>
      <w:rFonts w:ascii="Lucida Sans" w:hAnsi="Lucida Sans"/>
      <w:b/>
      <w:bCs/>
      <w:smallCaps/>
      <w:color w:val="C0504D" w:themeColor="accent2"/>
      <w:spacing w:val="5"/>
      <w:sz w:val="19"/>
      <w:u w:val="single"/>
    </w:rPr>
  </w:style>
  <w:style w:type="paragraph" w:styleId="Lijstalinea">
    <w:name w:val="List Paragraph"/>
    <w:basedOn w:val="Standaard"/>
    <w:uiPriority w:val="34"/>
    <w:qFormat/>
    <w:rsid w:val="00933CC6"/>
    <w:pPr>
      <w:ind w:left="720"/>
      <w:contextualSpacing/>
    </w:pPr>
  </w:style>
  <w:style w:type="character" w:styleId="Nadruk">
    <w:name w:val="Emphasis"/>
    <w:basedOn w:val="Standaardalinea-lettertype"/>
    <w:uiPriority w:val="20"/>
    <w:qFormat/>
    <w:rsid w:val="00933CC6"/>
    <w:rPr>
      <w:rFonts w:ascii="Lucida Sans" w:hAnsi="Lucida Sans"/>
      <w:i/>
      <w:iCs/>
      <w:sz w:val="19"/>
    </w:rPr>
  </w:style>
  <w:style w:type="paragraph" w:styleId="Ondertitel">
    <w:name w:val="Subtitle"/>
    <w:basedOn w:val="Standaard"/>
    <w:next w:val="Standaard"/>
    <w:link w:val="OndertitelChar"/>
    <w:autoRedefine/>
    <w:uiPriority w:val="11"/>
    <w:qFormat/>
    <w:rsid w:val="00933CC6"/>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933CC6"/>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933CC6"/>
    <w:rPr>
      <w:sz w:val="12"/>
    </w:rPr>
  </w:style>
  <w:style w:type="paragraph" w:customStyle="1" w:styleId="PNH8pt">
    <w:name w:val="PNH 8 pt"/>
    <w:basedOn w:val="Standaard"/>
    <w:next w:val="Standaard"/>
    <w:rsid w:val="00933CC6"/>
  </w:style>
  <w:style w:type="paragraph" w:customStyle="1" w:styleId="PNH8ptvet">
    <w:name w:val="PNH 8 pt vet"/>
    <w:basedOn w:val="Standaard"/>
    <w:next w:val="Standaard"/>
    <w:rsid w:val="00933CC6"/>
    <w:rPr>
      <w:b/>
    </w:rPr>
  </w:style>
  <w:style w:type="character" w:styleId="Subtielebenadrukking">
    <w:name w:val="Subtle Emphasis"/>
    <w:basedOn w:val="Standaardalinea-lettertype"/>
    <w:uiPriority w:val="19"/>
    <w:qFormat/>
    <w:rsid w:val="00933CC6"/>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933CC6"/>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933CC6"/>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933CC6"/>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933CC6"/>
    <w:rPr>
      <w:rFonts w:ascii="Lucida Sans" w:hAnsi="Lucida Sans"/>
      <w:b/>
      <w:bCs/>
      <w:smallCaps/>
      <w:spacing w:val="5"/>
      <w:sz w:val="19"/>
    </w:rPr>
  </w:style>
  <w:style w:type="character" w:styleId="Zwaar">
    <w:name w:val="Strong"/>
    <w:basedOn w:val="Standaardalinea-lettertype"/>
    <w:uiPriority w:val="22"/>
    <w:qFormat/>
    <w:rsid w:val="00933CC6"/>
    <w:rPr>
      <w:rFonts w:ascii="Lucida Sans" w:hAnsi="Lucida Sans"/>
      <w:b/>
      <w:bCs/>
      <w:sz w:val="19"/>
    </w:rPr>
  </w:style>
  <w:style w:type="paragraph" w:customStyle="1" w:styleId="PNHlocaties">
    <w:name w:val="PNH locaties"/>
    <w:basedOn w:val="PNH8pt"/>
    <w:link w:val="PNHlocatiesChar"/>
    <w:qFormat/>
    <w:rsid w:val="00A81E72"/>
    <w:pPr>
      <w:spacing w:after="0" w:line="280" w:lineRule="exact"/>
    </w:pPr>
    <w:rPr>
      <w:sz w:val="16"/>
    </w:rPr>
  </w:style>
  <w:style w:type="character" w:customStyle="1" w:styleId="PNHlocatiesChar">
    <w:name w:val="PNH locaties Char"/>
    <w:basedOn w:val="Standaardalinea-lettertype"/>
    <w:link w:val="PNHlocaties"/>
    <w:rsid w:val="00A81E72"/>
    <w:rPr>
      <w:rFonts w:ascii="Lucida Sans" w:hAnsi="Lucida Sans"/>
      <w:sz w:val="16"/>
    </w:rPr>
  </w:style>
  <w:style w:type="paragraph" w:styleId="Plattetekst">
    <w:name w:val="Body Text"/>
    <w:basedOn w:val="Standaard"/>
    <w:link w:val="PlattetekstChar"/>
    <w:uiPriority w:val="99"/>
    <w:semiHidden/>
    <w:unhideWhenUsed/>
    <w:rsid w:val="00933CC6"/>
    <w:pPr>
      <w:spacing w:after="120"/>
    </w:pPr>
  </w:style>
  <w:style w:type="character" w:customStyle="1" w:styleId="PlattetekstChar">
    <w:name w:val="Platte tekst Char"/>
    <w:basedOn w:val="Standaardalinea-lettertype"/>
    <w:link w:val="Plattetekst"/>
    <w:uiPriority w:val="99"/>
    <w:semiHidden/>
    <w:rsid w:val="00933CC6"/>
    <w:rPr>
      <w:rFonts w:ascii="Lucida Sans" w:hAnsi="Lucida Sans"/>
      <w:sz w:val="19"/>
    </w:rPr>
  </w:style>
  <w:style w:type="paragraph" w:styleId="Voetnoottekst">
    <w:name w:val="footnote text"/>
    <w:basedOn w:val="Standaard"/>
    <w:link w:val="VoetnoottekstChar"/>
    <w:uiPriority w:val="99"/>
    <w:semiHidden/>
    <w:unhideWhenUsed/>
    <w:rsid w:val="00933CC6"/>
    <w:pPr>
      <w:spacing w:after="0"/>
    </w:pPr>
    <w:rPr>
      <w:sz w:val="20"/>
      <w:szCs w:val="20"/>
    </w:rPr>
  </w:style>
  <w:style w:type="character" w:customStyle="1" w:styleId="VoetnoottekstChar">
    <w:name w:val="Voetnoottekst Char"/>
    <w:basedOn w:val="Standaardalinea-lettertype"/>
    <w:link w:val="Voetnoottekst"/>
    <w:uiPriority w:val="99"/>
    <w:semiHidden/>
    <w:rsid w:val="00933CC6"/>
    <w:rPr>
      <w:rFonts w:ascii="Lucida Sans" w:hAnsi="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A64D9137</Template>
  <TotalTime>8</TotalTime>
  <Pages>1</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Klugt, Jasmijn van der</dc:creator>
  <cp:lastModifiedBy>Klugt, mw. J. (Jasmijn) van der</cp:lastModifiedBy>
  <cp:revision>2</cp:revision>
  <cp:lastPrinted>2018-04-04T09:50:00Z</cp:lastPrinted>
  <dcterms:created xsi:type="dcterms:W3CDTF">2018-04-04T09:48:00Z</dcterms:created>
  <dcterms:modified xsi:type="dcterms:W3CDTF">2018-04-04T09:50:00Z</dcterms:modified>
</cp:coreProperties>
</file>